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1"/>
        </w:numPr>
        <w:jc w:val="both"/>
        <w:rPr>
          <w:rFonts w:ascii="Times New Roman" w:hAnsi="Times New Roman"/>
          <w:u w:val="single"/>
        </w:rPr>
      </w:pPr>
      <w:r>
        <w:rPr>
          <w:rFonts w:ascii="Times New Roman" w:hAnsi="Times New Roman"/>
          <w:u w:val="single"/>
        </w:rPr>
        <w:t>W rozdziale XVI (opis kryteriów oceny ofert) kryterium 2 (gwarancja) nie jest, tak jak kryterium 1, objęte znaczeniem (0,1). Przy kalkulacji punktów kryterium ceny stosujecie Państwo mnożnik 0,9, podczas gdy przy kryterium gwarancji brak mnożnika 0,1. Ponadto kryterium ceny jest ilorazem najniższej oferty do badanej oferty, a kryterium gwarancji nie ma ilorazu ilości pkt zadanej oferty do max ilości pkt (10). W tej konsekwencji może dojść do sytuacji, że zaakceptujecie państwo ofertę praktycznie tylko bazując na gwarancji. Poprawnym sposobem wyliczenia składnika x2 powinno być x2 = (ilość pkt za gwarancję badanej oferty) / (max ilość punktów za gwarancję = 10) * znaczenie (0,1).</w:t>
      </w:r>
    </w:p>
    <w:p>
      <w:pPr>
        <w:pStyle w:val="ListParagraph"/>
        <w:rPr>
          <w:rFonts w:ascii="Times New Roman" w:hAnsi="Times New Roman"/>
        </w:rPr>
      </w:pPr>
      <w:r>
        <w:rPr>
          <w:rFonts w:ascii="Times New Roman" w:hAnsi="Times New Roman"/>
        </w:rPr>
      </w:r>
    </w:p>
    <w:p>
      <w:pPr>
        <w:pStyle w:val="Normal"/>
        <w:jc w:val="both"/>
        <w:rPr>
          <w:rFonts w:ascii="Times New Roman" w:hAnsi="Times New Roman" w:cs="Times New Roman"/>
        </w:rPr>
      </w:pPr>
      <w:r>
        <w:rPr>
          <w:rFonts w:cs="Times New Roman" w:ascii="Times New Roman" w:hAnsi="Times New Roman"/>
        </w:rPr>
        <w:t>Odpowiedź: Zamawiający uwzględniając w/w uwagę precyzuje, że rozdział XVI pkt. 1-3  SIWZ otrzymuje następujące brzmienie:</w:t>
      </w:r>
    </w:p>
    <w:p>
      <w:pPr>
        <w:pStyle w:val="ListParagraph"/>
        <w:numPr>
          <w:ilvl w:val="0"/>
          <w:numId w:val="5"/>
        </w:numPr>
        <w:suppressAutoHyphens w:val="true"/>
        <w:spacing w:before="240" w:after="160"/>
        <w:ind w:left="714" w:hanging="357"/>
        <w:jc w:val="both"/>
        <w:textAlignment w:val="baseline"/>
        <w:rPr>
          <w:rFonts w:ascii="Times New Roman" w:hAnsi="Times New Roman"/>
        </w:rPr>
      </w:pPr>
      <w:r>
        <w:rPr>
          <w:rFonts w:ascii="Times New Roman" w:hAnsi="Times New Roman"/>
        </w:rPr>
        <w:t>Przy wyborze najkorzystniejszej oferty Zamawiający stosować będzie następujące kryteria oraz wagi do tych kryteriów:</w:t>
      </w:r>
    </w:p>
    <w:p>
      <w:pPr>
        <w:pStyle w:val="ListParagraph"/>
        <w:numPr>
          <w:ilvl w:val="0"/>
          <w:numId w:val="6"/>
        </w:numPr>
        <w:suppressAutoHyphens w:val="true"/>
        <w:spacing w:before="120" w:after="160"/>
        <w:ind w:left="1276" w:hanging="0"/>
        <w:jc w:val="both"/>
        <w:textAlignment w:val="baseline"/>
        <w:rPr>
          <w:rFonts w:ascii="Times New Roman" w:hAnsi="Times New Roman"/>
        </w:rPr>
      </w:pPr>
      <w:r>
        <w:rPr>
          <w:rFonts w:ascii="Times New Roman" w:hAnsi="Times New Roman"/>
          <w:b/>
          <w:bCs/>
        </w:rPr>
        <w:t>cena wykonania zamówienia - 90 %</w:t>
      </w:r>
    </w:p>
    <w:p>
      <w:pPr>
        <w:pStyle w:val="ListParagraph"/>
        <w:numPr>
          <w:ilvl w:val="0"/>
          <w:numId w:val="3"/>
        </w:numPr>
        <w:suppressAutoHyphens w:val="true"/>
        <w:spacing w:before="120" w:after="160"/>
        <w:ind w:left="1276" w:hanging="0"/>
        <w:jc w:val="both"/>
        <w:textAlignment w:val="baseline"/>
        <w:rPr>
          <w:rFonts w:ascii="Times New Roman" w:hAnsi="Times New Roman"/>
        </w:rPr>
      </w:pPr>
      <w:r>
        <w:rPr>
          <w:rFonts w:ascii="Times New Roman" w:hAnsi="Times New Roman"/>
          <w:b/>
          <w:bCs/>
        </w:rPr>
        <w:t>okres gwarancji – 10 %</w:t>
      </w:r>
    </w:p>
    <w:p>
      <w:pPr>
        <w:pStyle w:val="ListParagraph"/>
        <w:numPr>
          <w:ilvl w:val="0"/>
          <w:numId w:val="2"/>
        </w:numPr>
        <w:suppressAutoHyphens w:val="true"/>
        <w:spacing w:before="360" w:after="160"/>
        <w:ind w:left="714" w:hanging="357"/>
        <w:jc w:val="both"/>
        <w:textAlignment w:val="baseline"/>
        <w:rPr>
          <w:rFonts w:ascii="Times New Roman" w:hAnsi="Times New Roman"/>
        </w:rPr>
      </w:pPr>
      <w:r>
        <w:rPr>
          <w:rFonts w:ascii="Times New Roman" w:hAnsi="Times New Roman"/>
        </w:rPr>
        <w:t>Ocena ofert będzie dokonywana wg poniższej zasady:</w:t>
      </w:r>
    </w:p>
    <w:p>
      <w:pPr>
        <w:pStyle w:val="ListParagraph"/>
        <w:numPr>
          <w:ilvl w:val="0"/>
          <w:numId w:val="7"/>
        </w:numPr>
        <w:suppressAutoHyphens w:val="true"/>
        <w:spacing w:before="120" w:after="160"/>
        <w:ind w:left="1276" w:hanging="357"/>
        <w:jc w:val="both"/>
        <w:textAlignment w:val="baseline"/>
        <w:rPr>
          <w:rFonts w:ascii="Times New Roman" w:hAnsi="Times New Roman"/>
        </w:rPr>
      </w:pPr>
      <w:r>
        <w:rPr>
          <w:rFonts w:ascii="Times New Roman" w:hAnsi="Times New Roman"/>
          <w:b/>
          <w:bCs/>
          <w:u w:val="single"/>
        </w:rPr>
        <w:t>KRYTERIUM CENY (X</w:t>
      </w:r>
      <w:r>
        <w:rPr>
          <w:rFonts w:ascii="Times New Roman" w:hAnsi="Times New Roman"/>
          <w:b/>
          <w:bCs/>
          <w:u w:val="single"/>
          <w:vertAlign w:val="subscript"/>
        </w:rPr>
        <w:t>1</w:t>
      </w:r>
      <w:r>
        <w:rPr>
          <w:rFonts w:ascii="Times New Roman" w:hAnsi="Times New Roman"/>
          <w:b/>
          <w:bCs/>
          <w:u w:val="single"/>
        </w:rPr>
        <w:t>)</w:t>
      </w:r>
    </w:p>
    <w:p>
      <w:pPr>
        <w:pStyle w:val="ListParagraph"/>
        <w:spacing w:before="120" w:after="160"/>
        <w:ind w:left="1276" w:hanging="0"/>
        <w:jc w:val="both"/>
        <w:rPr>
          <w:rFonts w:ascii="Times New Roman" w:hAnsi="Times New Roman"/>
        </w:rPr>
      </w:pPr>
      <w:r>
        <w:rPr>
          <w:rFonts w:ascii="Times New Roman" w:hAnsi="Times New Roman"/>
        </w:rPr>
        <w:t>Oferta z najniższą ceną brutto ze wszystkich ofert nie odrzuconych otrzyma max 90 punktów procentowych.</w:t>
      </w:r>
    </w:p>
    <w:p>
      <w:pPr>
        <w:pStyle w:val="ListParagraph"/>
        <w:spacing w:before="120" w:after="160"/>
        <w:ind w:left="1276" w:hanging="0"/>
        <w:jc w:val="both"/>
        <w:rPr>
          <w:rFonts w:ascii="Times New Roman" w:hAnsi="Times New Roman"/>
        </w:rPr>
      </w:pPr>
      <w:r>
        <w:rPr>
          <w:rFonts w:ascii="Times New Roman" w:hAnsi="Times New Roman"/>
        </w:rPr>
        <w:t>Oferty proponujące ceny brutto wyższe otrzymają proporcjonalnie mniej punktów, wyliczonych wg wzoru:</w:t>
      </w:r>
    </w:p>
    <w:p>
      <w:pPr>
        <w:pStyle w:val="Standard"/>
        <w:tabs>
          <w:tab w:val="left" w:pos="2410" w:leader="none"/>
        </w:tabs>
        <w:spacing w:before="0" w:after="0"/>
        <w:rPr>
          <w:rFonts w:ascii="Times New Roman" w:hAnsi="Times New Roman" w:cs="Times New Roman"/>
          <w:b/>
          <w:b/>
        </w:rPr>
      </w:pPr>
      <w:r>
        <w:rPr>
          <w:rFonts w:cs="Times New Roman" w:ascii="Times New Roman" w:hAnsi="Times New Roman"/>
          <w:b/>
        </w:rPr>
      </w:r>
    </w:p>
    <w:tbl>
      <w:tblPr>
        <w:tblW w:w="9070" w:type="dxa"/>
        <w:jc w:val="left"/>
        <w:tblInd w:w="-10" w:type="dxa"/>
        <w:tblBorders/>
        <w:tblCellMar>
          <w:top w:w="0" w:type="dxa"/>
          <w:left w:w="108" w:type="dxa"/>
          <w:bottom w:w="0" w:type="dxa"/>
          <w:right w:w="108" w:type="dxa"/>
        </w:tblCellMar>
        <w:tblLook w:firstRow="1" w:noVBand="1" w:lastRow="0" w:firstColumn="1" w:lastColumn="0" w:noHBand="0" w:val="04a0"/>
      </w:tblPr>
      <w:tblGrid>
        <w:gridCol w:w="2328"/>
        <w:gridCol w:w="4746"/>
        <w:gridCol w:w="1996"/>
      </w:tblGrid>
      <w:tr>
        <w:trPr/>
        <w:tc>
          <w:tcPr>
            <w:tcW w:w="2328" w:type="dxa"/>
            <w:vMerge w:val="restart"/>
            <w:tcBorders/>
            <w:shd w:color="auto" w:fill="auto" w:val="clear"/>
          </w:tcPr>
          <w:p>
            <w:pPr>
              <w:pStyle w:val="Standard"/>
              <w:tabs>
                <w:tab w:val="left" w:pos="2410" w:leader="none"/>
              </w:tabs>
              <w:spacing w:lineRule="auto" w:line="240" w:before="0" w:after="0"/>
              <w:jc w:val="center"/>
              <w:rPr>
                <w:rFonts w:ascii="Times New Roman" w:hAnsi="Times New Roman" w:cs="Times New Roman"/>
              </w:rPr>
            </w:pPr>
            <w:r>
              <w:rPr>
                <w:rFonts w:cs="Times New Roman" w:ascii="Times New Roman" w:hAnsi="Times New Roman"/>
                <w:b/>
              </w:rPr>
              <w:t>X</w:t>
            </w:r>
            <w:r>
              <w:rPr>
                <w:rFonts w:cs="Times New Roman" w:ascii="Times New Roman" w:hAnsi="Times New Roman"/>
                <w:b/>
                <w:vertAlign w:val="subscript"/>
              </w:rPr>
              <w:t>1</w:t>
            </w:r>
            <w:r>
              <w:rPr>
                <w:rFonts w:cs="Times New Roman" w:ascii="Times New Roman" w:hAnsi="Times New Roman"/>
                <w:b/>
              </w:rPr>
              <w:t xml:space="preserve"> =</w:t>
            </w:r>
          </w:p>
        </w:tc>
        <w:tc>
          <w:tcPr>
            <w:tcW w:w="4746" w:type="dxa"/>
            <w:tcBorders>
              <w:bottom w:val="single" w:sz="4" w:space="0" w:color="00000A"/>
              <w:insideH w:val="single" w:sz="4" w:space="0" w:color="00000A"/>
            </w:tcBorders>
            <w:shd w:color="auto" w:fill="auto" w:val="clear"/>
          </w:tcPr>
          <w:p>
            <w:pPr>
              <w:pStyle w:val="Standard"/>
              <w:tabs>
                <w:tab w:val="left" w:pos="2410" w:leader="none"/>
              </w:tabs>
              <w:spacing w:lineRule="auto" w:line="240" w:before="0" w:after="0"/>
              <w:jc w:val="center"/>
              <w:rPr>
                <w:rFonts w:ascii="Times New Roman" w:hAnsi="Times New Roman" w:cs="Times New Roman"/>
              </w:rPr>
            </w:pPr>
            <w:r>
              <w:rPr>
                <w:rFonts w:cs="Times New Roman" w:ascii="Times New Roman" w:hAnsi="Times New Roman"/>
                <w:b/>
              </w:rPr>
              <w:t>najniższa cena spośród nieodrzuconych ofert</w:t>
            </w:r>
          </w:p>
        </w:tc>
        <w:tc>
          <w:tcPr>
            <w:tcW w:w="1996" w:type="dxa"/>
            <w:vMerge w:val="restart"/>
            <w:tcBorders/>
            <w:shd w:color="auto" w:fill="auto" w:val="clear"/>
          </w:tcPr>
          <w:p>
            <w:pPr>
              <w:pStyle w:val="Standard"/>
              <w:tabs>
                <w:tab w:val="left" w:pos="2410" w:leader="none"/>
              </w:tabs>
              <w:spacing w:lineRule="auto" w:line="240" w:before="0" w:after="0"/>
              <w:jc w:val="center"/>
              <w:rPr>
                <w:rFonts w:ascii="Times New Roman" w:hAnsi="Times New Roman" w:cs="Times New Roman"/>
              </w:rPr>
            </w:pPr>
            <w:r>
              <w:rPr>
                <w:rFonts w:cs="Times New Roman" w:ascii="Times New Roman" w:hAnsi="Times New Roman"/>
                <w:b/>
              </w:rPr>
              <w:t>x znaczenie (0,9)</w:t>
            </w:r>
          </w:p>
        </w:tc>
      </w:tr>
      <w:tr>
        <w:trPr/>
        <w:tc>
          <w:tcPr>
            <w:tcW w:w="2328" w:type="dxa"/>
            <w:vMerge w:val="continue"/>
            <w:tcBorders/>
            <w:shd w:color="auto" w:fill="auto" w:val="clear"/>
          </w:tcPr>
          <w:p>
            <w:pPr>
              <w:pStyle w:val="Normal"/>
              <w:spacing w:before="0" w:after="160"/>
              <w:rPr>
                <w:rFonts w:ascii="Times New Roman" w:hAnsi="Times New Roman" w:cs="Times New Roman"/>
              </w:rPr>
            </w:pPr>
            <w:r>
              <w:rPr>
                <w:rFonts w:cs="Times New Roman" w:ascii="Times New Roman" w:hAnsi="Times New Roman"/>
              </w:rPr>
            </w:r>
          </w:p>
        </w:tc>
        <w:tc>
          <w:tcPr>
            <w:tcW w:w="4746" w:type="dxa"/>
            <w:tcBorders>
              <w:top w:val="single" w:sz="4" w:space="0" w:color="00000A"/>
            </w:tcBorders>
            <w:shd w:color="auto" w:fill="auto" w:val="clear"/>
          </w:tcPr>
          <w:p>
            <w:pPr>
              <w:pStyle w:val="Standard"/>
              <w:tabs>
                <w:tab w:val="left" w:pos="2410" w:leader="none"/>
              </w:tabs>
              <w:spacing w:lineRule="auto" w:line="240" w:before="0" w:after="0"/>
              <w:jc w:val="center"/>
              <w:rPr>
                <w:rFonts w:ascii="Times New Roman" w:hAnsi="Times New Roman" w:cs="Times New Roman"/>
              </w:rPr>
            </w:pPr>
            <w:r>
              <w:rPr>
                <w:rFonts w:cs="Times New Roman" w:ascii="Times New Roman" w:hAnsi="Times New Roman"/>
                <w:b/>
              </w:rPr>
              <w:t>cena badanej oferty</w:t>
            </w:r>
          </w:p>
        </w:tc>
        <w:tc>
          <w:tcPr>
            <w:tcW w:w="1996" w:type="dxa"/>
            <w:vMerge w:val="continue"/>
            <w:tcBorders/>
            <w:shd w:color="auto" w:fill="auto" w:val="clear"/>
          </w:tcPr>
          <w:p>
            <w:pPr>
              <w:pStyle w:val="Normal"/>
              <w:spacing w:before="0" w:after="160"/>
              <w:rPr>
                <w:rFonts w:ascii="Times New Roman" w:hAnsi="Times New Roman" w:cs="Times New Roman"/>
              </w:rPr>
            </w:pPr>
            <w:r>
              <w:rPr>
                <w:rFonts w:cs="Times New Roman" w:ascii="Times New Roman" w:hAnsi="Times New Roman"/>
              </w:rPr>
            </w:r>
          </w:p>
        </w:tc>
      </w:tr>
    </w:tbl>
    <w:p>
      <w:pPr>
        <w:pStyle w:val="Standard"/>
        <w:tabs>
          <w:tab w:val="left" w:pos="2410" w:leader="none"/>
        </w:tabs>
        <w:spacing w:before="0" w:after="0"/>
        <w:rPr>
          <w:rFonts w:ascii="Times New Roman" w:hAnsi="Times New Roman" w:cs="Times New Roman"/>
          <w:b/>
          <w:b/>
        </w:rPr>
      </w:pPr>
      <w:r>
        <w:rPr>
          <w:rFonts w:cs="Times New Roman" w:ascii="Times New Roman" w:hAnsi="Times New Roman"/>
          <w:b/>
        </w:rPr>
      </w:r>
    </w:p>
    <w:p>
      <w:pPr>
        <w:pStyle w:val="Standard"/>
        <w:spacing w:before="240" w:after="0"/>
        <w:ind w:left="1276" w:hanging="0"/>
        <w:jc w:val="both"/>
        <w:rPr>
          <w:rFonts w:ascii="Times New Roman" w:hAnsi="Times New Roman" w:cs="Times New Roman"/>
        </w:rPr>
      </w:pPr>
      <w:r>
        <w:rPr>
          <w:rFonts w:cs="Times New Roman" w:ascii="Times New Roman" w:hAnsi="Times New Roman"/>
        </w:rPr>
        <w:t>Przyznane punkty zostaną zaokrąglone do pełnego punktu (zgodnie z zasadą: poniżej 5 należy końcówkę pominąć, powyżej i równe 5 należy zaokrąglić w górę).</w:t>
      </w:r>
    </w:p>
    <w:p>
      <w:pPr>
        <w:pStyle w:val="ListParagraph"/>
        <w:numPr>
          <w:ilvl w:val="0"/>
          <w:numId w:val="4"/>
        </w:numPr>
        <w:suppressAutoHyphens w:val="true"/>
        <w:spacing w:before="120" w:after="160"/>
        <w:ind w:left="1276" w:hanging="357"/>
        <w:jc w:val="both"/>
        <w:textAlignment w:val="baseline"/>
        <w:rPr>
          <w:rFonts w:ascii="Times New Roman" w:hAnsi="Times New Roman"/>
        </w:rPr>
      </w:pPr>
      <w:r>
        <w:rPr>
          <w:rFonts w:ascii="Times New Roman" w:hAnsi="Times New Roman"/>
          <w:b/>
          <w:bCs/>
          <w:u w:val="single"/>
        </w:rPr>
        <w:t>KRYTERIUM OKRESU GWARANCJI (x</w:t>
      </w:r>
      <w:r>
        <w:rPr>
          <w:rFonts w:ascii="Times New Roman" w:hAnsi="Times New Roman"/>
          <w:b/>
          <w:bCs/>
          <w:u w:val="single"/>
          <w:vertAlign w:val="subscript"/>
        </w:rPr>
        <w:t>2</w:t>
      </w:r>
      <w:r>
        <w:rPr>
          <w:rFonts w:ascii="Times New Roman" w:hAnsi="Times New Roman"/>
          <w:b/>
          <w:bCs/>
          <w:u w:val="single"/>
        </w:rPr>
        <w:t>)</w:t>
      </w:r>
    </w:p>
    <w:p>
      <w:pPr>
        <w:pStyle w:val="ListParagraph"/>
        <w:spacing w:before="120" w:after="160"/>
        <w:ind w:left="1276" w:hanging="0"/>
        <w:jc w:val="both"/>
        <w:rPr>
          <w:rFonts w:ascii="Times New Roman" w:hAnsi="Times New Roman"/>
        </w:rPr>
      </w:pPr>
      <w:r>
        <w:rPr>
          <w:rFonts w:ascii="Times New Roman" w:hAnsi="Times New Roman"/>
        </w:rPr>
        <w:t>Wykonawca, który zaoferuje najdłuższy (tj. 24 miesiące i więcej) okres gwarancji</w:t>
      </w:r>
      <w:r>
        <w:rPr>
          <w:rFonts w:ascii="Times New Roman" w:hAnsi="Times New Roman"/>
          <w:b/>
          <w:bCs/>
        </w:rPr>
        <w:t xml:space="preserve">, </w:t>
      </w:r>
      <w:r>
        <w:rPr>
          <w:rFonts w:ascii="Times New Roman" w:hAnsi="Times New Roman"/>
        </w:rPr>
        <w:t>licząc od daty końcowego odbioru wszystkich robót objętych umową, otrzyma:</w:t>
      </w:r>
    </w:p>
    <w:p>
      <w:pPr>
        <w:pStyle w:val="NormalWeb"/>
        <w:shd w:val="clear" w:color="auto" w:fill="FFFFFF"/>
        <w:spacing w:lineRule="auto" w:line="276" w:before="0" w:after="180"/>
        <w:ind w:left="568" w:firstLine="708"/>
        <w:rPr/>
      </w:pPr>
      <w:r>
        <w:rPr>
          <w:color w:val="000000"/>
          <w:sz w:val="22"/>
          <w:szCs w:val="22"/>
        </w:rPr>
        <w:t>gwarancja na 24 miesięcy – 0 punktów</w:t>
      </w:r>
    </w:p>
    <w:p>
      <w:pPr>
        <w:pStyle w:val="NormalWeb"/>
        <w:shd w:val="clear" w:color="auto" w:fill="FFFFFF"/>
        <w:spacing w:lineRule="auto" w:line="276" w:before="0" w:after="180"/>
        <w:ind w:left="568" w:firstLine="708"/>
        <w:rPr/>
      </w:pPr>
      <w:r>
        <w:rPr>
          <w:color w:val="000000"/>
          <w:sz w:val="22"/>
          <w:szCs w:val="22"/>
        </w:rPr>
        <w:t>gwarancja 24&lt;</w:t>
      </w:r>
      <w:r>
        <w:rPr>
          <w:color w:val="000000"/>
          <w:sz w:val="22"/>
          <w:szCs w:val="22"/>
        </w:rPr>
        <w:t>a</w:t>
      </w:r>
      <w:r>
        <w:rPr>
          <w:color w:val="000000"/>
          <w:sz w:val="22"/>
          <w:szCs w:val="22"/>
        </w:rPr>
        <w:t>≤ 48 miesięcy – 5 punktów</w:t>
      </w:r>
    </w:p>
    <w:p>
      <w:pPr>
        <w:pStyle w:val="NormalWeb"/>
        <w:shd w:val="clear" w:color="auto" w:fill="FFFFFF"/>
        <w:spacing w:lineRule="auto" w:line="276" w:before="0" w:after="180"/>
        <w:ind w:left="568" w:firstLine="708"/>
        <w:rPr/>
      </w:pPr>
      <w:r>
        <w:rPr>
          <w:color w:val="000000"/>
          <w:sz w:val="22"/>
          <w:szCs w:val="22"/>
        </w:rPr>
        <w:t>gwarancja 48</w:t>
      </w:r>
      <w:bookmarkStart w:id="0" w:name="__DdeLink__4583_587127509"/>
      <w:r>
        <w:rPr>
          <w:color w:val="000000"/>
          <w:sz w:val="22"/>
          <w:szCs w:val="22"/>
        </w:rPr>
        <w:t>&lt;</w:t>
      </w:r>
      <w:bookmarkEnd w:id="0"/>
      <w:r>
        <w:rPr>
          <w:color w:val="000000"/>
          <w:sz w:val="22"/>
          <w:szCs w:val="22"/>
        </w:rPr>
        <w:t>a</w:t>
      </w:r>
      <w:r>
        <w:rPr>
          <w:color w:val="000000"/>
          <w:sz w:val="22"/>
          <w:szCs w:val="22"/>
        </w:rPr>
        <w:t xml:space="preserve"> miesięcy – 10 punktów</w:t>
      </w:r>
    </w:p>
    <w:p>
      <w:pPr>
        <w:pStyle w:val="NormalWeb"/>
        <w:shd w:val="clear" w:color="auto" w:fill="FFFFFF"/>
        <w:spacing w:lineRule="auto" w:line="276" w:before="0" w:after="180"/>
        <w:ind w:left="568" w:firstLine="708"/>
        <w:rPr/>
      </w:pPr>
      <w:r>
        <w:rPr>
          <w:color w:val="000000"/>
          <w:sz w:val="22"/>
          <w:szCs w:val="22"/>
        </w:rPr>
        <w:t>a – okres gwarancji wyrażony w miesiącach</w:t>
      </w:r>
    </w:p>
    <w:p>
      <w:pPr>
        <w:pStyle w:val="NormalWeb"/>
        <w:shd w:val="clear" w:color="auto" w:fill="FFFFFF"/>
        <w:spacing w:lineRule="auto" w:line="276" w:before="0" w:after="180"/>
        <w:ind w:left="1276" w:hanging="0"/>
        <w:rPr/>
      </w:pPr>
      <w:r>
        <w:rPr>
          <w:color w:val="000000"/>
          <w:sz w:val="22"/>
          <w:szCs w:val="22"/>
        </w:rPr>
        <w:t>Jeżeli Wykonawca poda okres gwarancji w latach, Zamawiający przeliczy go na miesiące zgodnie z zasadą 1 rok = 12 miesięcy</w:t>
      </w:r>
    </w:p>
    <w:p>
      <w:pPr>
        <w:pStyle w:val="NormalWeb"/>
        <w:shd w:val="clear" w:color="auto" w:fill="FFFFFF"/>
        <w:spacing w:lineRule="auto" w:line="276" w:before="0" w:after="180"/>
        <w:ind w:left="1276" w:hanging="0"/>
        <w:rPr>
          <w:color w:val="000000"/>
          <w:sz w:val="22"/>
          <w:szCs w:val="22"/>
        </w:rPr>
      </w:pPr>
      <w:r>
        <w:rPr/>
      </w:r>
    </w:p>
    <w:tbl>
      <w:tblPr>
        <w:tblW w:w="9070" w:type="dxa"/>
        <w:jc w:val="left"/>
        <w:tblInd w:w="-10" w:type="dxa"/>
        <w:tblBorders/>
        <w:tblCellMar>
          <w:top w:w="0" w:type="dxa"/>
          <w:left w:w="108" w:type="dxa"/>
          <w:bottom w:w="0" w:type="dxa"/>
          <w:right w:w="108" w:type="dxa"/>
        </w:tblCellMar>
        <w:tblLook w:firstRow="1" w:noVBand="1" w:lastRow="0" w:firstColumn="1" w:lastColumn="0" w:noHBand="0" w:val="04a0"/>
      </w:tblPr>
      <w:tblGrid>
        <w:gridCol w:w="2328"/>
        <w:gridCol w:w="4746"/>
        <w:gridCol w:w="1996"/>
      </w:tblGrid>
      <w:tr>
        <w:trPr/>
        <w:tc>
          <w:tcPr>
            <w:tcW w:w="2328" w:type="dxa"/>
            <w:vMerge w:val="restart"/>
            <w:tcBorders/>
            <w:shd w:color="auto" w:fill="auto" w:val="clear"/>
          </w:tcPr>
          <w:p>
            <w:pPr>
              <w:pStyle w:val="Standard"/>
              <w:tabs>
                <w:tab w:val="left" w:pos="2410" w:leader="none"/>
              </w:tabs>
              <w:spacing w:lineRule="auto" w:line="240" w:before="0" w:after="0"/>
              <w:jc w:val="center"/>
              <w:rPr>
                <w:rFonts w:ascii="Times New Roman" w:hAnsi="Times New Roman" w:cs="Times New Roman"/>
              </w:rPr>
            </w:pPr>
            <w:r>
              <w:rPr>
                <w:rFonts w:cs="Times New Roman" w:ascii="Times New Roman" w:hAnsi="Times New Roman"/>
                <w:b/>
              </w:rPr>
              <w:t>X</w:t>
            </w:r>
            <w:r>
              <w:rPr>
                <w:rFonts w:cs="Times New Roman" w:ascii="Times New Roman" w:hAnsi="Times New Roman"/>
                <w:b/>
                <w:vertAlign w:val="subscript"/>
              </w:rPr>
              <w:t>2</w:t>
            </w:r>
            <w:r>
              <w:rPr>
                <w:rFonts w:cs="Times New Roman" w:ascii="Times New Roman" w:hAnsi="Times New Roman"/>
                <w:b/>
              </w:rPr>
              <w:t xml:space="preserve"> =</w:t>
            </w:r>
          </w:p>
        </w:tc>
        <w:tc>
          <w:tcPr>
            <w:tcW w:w="4746" w:type="dxa"/>
            <w:tcBorders>
              <w:bottom w:val="single" w:sz="4" w:space="0" w:color="00000A"/>
              <w:insideH w:val="single" w:sz="4" w:space="0" w:color="00000A"/>
            </w:tcBorders>
            <w:shd w:color="auto" w:fill="auto" w:val="clear"/>
          </w:tcPr>
          <w:p>
            <w:pPr>
              <w:pStyle w:val="Standard"/>
              <w:tabs>
                <w:tab w:val="left" w:pos="2410" w:leader="none"/>
              </w:tabs>
              <w:spacing w:lineRule="auto" w:line="240" w:before="0" w:after="0"/>
              <w:jc w:val="center"/>
              <w:rPr>
                <w:rFonts w:ascii="Times New Roman" w:hAnsi="Times New Roman" w:cs="Times New Roman"/>
              </w:rPr>
            </w:pPr>
            <w:r>
              <w:rPr>
                <w:rFonts w:cs="Times New Roman" w:ascii="Times New Roman" w:hAnsi="Times New Roman"/>
                <w:b/>
              </w:rPr>
              <w:t>ilość punktów za gwarancję badanej oferty</w:t>
            </w:r>
          </w:p>
        </w:tc>
        <w:tc>
          <w:tcPr>
            <w:tcW w:w="1996" w:type="dxa"/>
            <w:vMerge w:val="restart"/>
            <w:tcBorders/>
            <w:shd w:color="auto" w:fill="auto" w:val="clear"/>
          </w:tcPr>
          <w:p>
            <w:pPr>
              <w:pStyle w:val="Standard"/>
              <w:tabs>
                <w:tab w:val="left" w:pos="2410" w:leader="none"/>
              </w:tabs>
              <w:spacing w:lineRule="auto" w:line="240" w:before="0" w:after="0"/>
              <w:jc w:val="center"/>
              <w:rPr>
                <w:rFonts w:ascii="Times New Roman" w:hAnsi="Times New Roman" w:cs="Times New Roman"/>
              </w:rPr>
            </w:pPr>
            <w:r>
              <w:rPr>
                <w:rFonts w:cs="Times New Roman" w:ascii="Times New Roman" w:hAnsi="Times New Roman"/>
                <w:b/>
              </w:rPr>
              <w:t>x znaczenie (0,1)</w:t>
            </w:r>
          </w:p>
        </w:tc>
      </w:tr>
      <w:tr>
        <w:trPr/>
        <w:tc>
          <w:tcPr>
            <w:tcW w:w="2328" w:type="dxa"/>
            <w:vMerge w:val="continue"/>
            <w:tcBorders/>
            <w:shd w:color="auto" w:fill="auto" w:val="clear"/>
          </w:tcPr>
          <w:p>
            <w:pPr>
              <w:pStyle w:val="Normal"/>
              <w:spacing w:before="0" w:after="160"/>
              <w:rPr>
                <w:rFonts w:ascii="Times New Roman" w:hAnsi="Times New Roman" w:cs="Times New Roman"/>
              </w:rPr>
            </w:pPr>
            <w:r>
              <w:rPr>
                <w:rFonts w:cs="Times New Roman" w:ascii="Times New Roman" w:hAnsi="Times New Roman"/>
              </w:rPr>
            </w:r>
          </w:p>
        </w:tc>
        <w:tc>
          <w:tcPr>
            <w:tcW w:w="4746" w:type="dxa"/>
            <w:tcBorders>
              <w:top w:val="single" w:sz="4" w:space="0" w:color="00000A"/>
            </w:tcBorders>
            <w:shd w:color="auto" w:fill="auto" w:val="clear"/>
          </w:tcPr>
          <w:p>
            <w:pPr>
              <w:pStyle w:val="Standard"/>
              <w:tabs>
                <w:tab w:val="left" w:pos="2410" w:leader="none"/>
              </w:tabs>
              <w:spacing w:lineRule="auto" w:line="240" w:before="0" w:after="0"/>
              <w:jc w:val="center"/>
              <w:rPr>
                <w:rFonts w:ascii="Times New Roman" w:hAnsi="Times New Roman" w:cs="Times New Roman"/>
              </w:rPr>
            </w:pPr>
            <w:r>
              <w:rPr>
                <w:rFonts w:cs="Times New Roman" w:ascii="Times New Roman" w:hAnsi="Times New Roman"/>
                <w:b/>
              </w:rPr>
              <w:t>10</w:t>
            </w:r>
          </w:p>
        </w:tc>
        <w:tc>
          <w:tcPr>
            <w:tcW w:w="1996" w:type="dxa"/>
            <w:vMerge w:val="continue"/>
            <w:tcBorders/>
            <w:shd w:color="auto" w:fill="auto" w:val="clear"/>
          </w:tcPr>
          <w:p>
            <w:pPr>
              <w:pStyle w:val="Normal"/>
              <w:spacing w:before="0" w:after="160"/>
              <w:rPr>
                <w:rFonts w:ascii="Times New Roman" w:hAnsi="Times New Roman" w:cs="Times New Roman"/>
              </w:rPr>
            </w:pPr>
            <w:r>
              <w:rPr>
                <w:rFonts w:cs="Times New Roman" w:ascii="Times New Roman" w:hAnsi="Times New Roman"/>
              </w:rPr>
            </w:r>
          </w:p>
        </w:tc>
      </w:tr>
    </w:tbl>
    <w:p>
      <w:pPr>
        <w:pStyle w:val="NormalWeb"/>
        <w:shd w:val="clear" w:color="auto" w:fill="FFFFFF"/>
        <w:spacing w:lineRule="auto" w:line="276" w:before="0" w:after="180"/>
        <w:rPr>
          <w:sz w:val="22"/>
          <w:szCs w:val="22"/>
        </w:rPr>
      </w:pPr>
      <w:r>
        <w:rPr>
          <w:sz w:val="22"/>
          <w:szCs w:val="22"/>
        </w:rPr>
      </w:r>
    </w:p>
    <w:p>
      <w:pPr>
        <w:pStyle w:val="NormalWeb"/>
        <w:shd w:val="clear" w:color="auto" w:fill="FFFFFF"/>
        <w:spacing w:lineRule="auto" w:line="276" w:before="0" w:after="180"/>
        <w:ind w:left="1276" w:hanging="0"/>
        <w:rPr>
          <w:sz w:val="22"/>
          <w:szCs w:val="22"/>
        </w:rPr>
      </w:pPr>
      <w:r>
        <w:rPr>
          <w:color w:val="000000"/>
          <w:sz w:val="22"/>
          <w:szCs w:val="22"/>
        </w:rPr>
        <w:t>W przypadku podania w ofercie przez Wykonawcę krótszego okresu gwarancji niż 24 miesiące Zamawiający odrzuci ofertę</w:t>
      </w:r>
    </w:p>
    <w:p>
      <w:pPr>
        <w:pStyle w:val="ListParagraph"/>
        <w:numPr>
          <w:ilvl w:val="0"/>
          <w:numId w:val="2"/>
        </w:numPr>
        <w:suppressAutoHyphens w:val="true"/>
        <w:spacing w:before="360" w:after="160"/>
        <w:ind w:left="714" w:hanging="357"/>
        <w:jc w:val="both"/>
        <w:textAlignment w:val="baseline"/>
        <w:rPr>
          <w:rFonts w:ascii="Times New Roman" w:hAnsi="Times New Roman"/>
        </w:rPr>
      </w:pPr>
      <w:r>
        <w:rPr>
          <w:rFonts w:ascii="Times New Roman" w:hAnsi="Times New Roman"/>
        </w:rPr>
        <w:t>O wyborze oferty zadecyduje największa liczba uzyskanych punktów (</w:t>
      </w:r>
      <w:r>
        <w:rPr>
          <w:rFonts w:ascii="Times New Roman" w:hAnsi="Times New Roman"/>
          <w:b/>
        </w:rPr>
        <w:t>X</w:t>
      </w:r>
      <w:r>
        <w:rPr>
          <w:rFonts w:ascii="Times New Roman" w:hAnsi="Times New Roman"/>
        </w:rPr>
        <w:t>), obliczonych wg poniższego wzoru:</w:t>
      </w:r>
    </w:p>
    <w:p>
      <w:pPr>
        <w:pStyle w:val="Standard"/>
        <w:spacing w:before="240" w:after="240"/>
        <w:jc w:val="center"/>
        <w:rPr>
          <w:rFonts w:ascii="Times New Roman" w:hAnsi="Times New Roman" w:cs="Times New Roman"/>
        </w:rPr>
      </w:pPr>
      <w:r>
        <w:rPr>
          <w:rFonts w:cs="Times New Roman" w:ascii="Times New Roman" w:hAnsi="Times New Roman"/>
          <w:b/>
          <w:color w:val="000000"/>
        </w:rPr>
        <w:t>X =  X</w:t>
      </w:r>
      <w:r>
        <w:rPr>
          <w:rFonts w:cs="Times New Roman" w:ascii="Times New Roman" w:hAnsi="Times New Roman"/>
          <w:b/>
          <w:color w:val="000000"/>
          <w:vertAlign w:val="subscript"/>
        </w:rPr>
        <w:t>1</w:t>
      </w:r>
      <w:r>
        <w:rPr>
          <w:rFonts w:cs="Times New Roman" w:ascii="Times New Roman" w:hAnsi="Times New Roman"/>
          <w:b/>
          <w:color w:val="000000"/>
        </w:rPr>
        <w:t xml:space="preserve"> + X</w:t>
      </w:r>
      <w:r>
        <w:rPr>
          <w:rFonts w:cs="Times New Roman" w:ascii="Times New Roman" w:hAnsi="Times New Roman"/>
          <w:b/>
          <w:color w:val="000000"/>
          <w:vertAlign w:val="subscript"/>
        </w:rPr>
        <w:t>2</w:t>
      </w:r>
    </w:p>
    <w:p>
      <w:pPr>
        <w:pStyle w:val="ListParagraph"/>
        <w:numPr>
          <w:ilvl w:val="0"/>
          <w:numId w:val="1"/>
        </w:numPr>
        <w:jc w:val="both"/>
        <w:rPr>
          <w:rFonts w:ascii="Times New Roman" w:hAnsi="Times New Roman"/>
          <w:u w:val="single"/>
        </w:rPr>
      </w:pPr>
      <w:r>
        <w:rPr>
          <w:rFonts w:ascii="Times New Roman" w:hAnsi="Times New Roman"/>
          <w:u w:val="single"/>
        </w:rPr>
        <w:t>Oczekujecie Państwo, że „Oprocentowanie stałe niezmienne w okresie obowiązywania umowy.” Jednak później prosicie Państwo, by kalkulacja była przygotowana w oparciu o WIBOR 1M z dn. 31.10. Oprocentowanie stałe ustala się w oparciu o inną stopę bazową (referencyjną) niż WIBOR. Niemożliwym jest przygotowanie oprocentowania stałego i ustalenie stałych rat w oparciu o zmienną stawkę WIBOR. Proszę o dopuszczenie do kalkulacji rat stałych stopy IRS2Y PLN.</w:t>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u w:val="single"/>
        </w:rPr>
      </w:pPr>
      <w:bookmarkStart w:id="1" w:name="_GoBack"/>
      <w:bookmarkEnd w:id="1"/>
      <w:r>
        <w:rPr>
          <w:rFonts w:cs="Times New Roman" w:ascii="Times New Roman" w:hAnsi="Times New Roman"/>
        </w:rPr>
        <w:t>Odpowiedź: Zamawiający precyzuje, że oczekuje wskazania oprocentowania stałego, niezmiennego w okresie obowiązywania umowy – bez względu na WIBOR 1M z dn. 31.10.2018 r.</w:t>
      </w:r>
    </w:p>
    <w:p>
      <w:pPr>
        <w:pStyle w:val="Normal"/>
        <w:rPr>
          <w:rFonts w:ascii="Times New Roman" w:hAnsi="Times New Roman" w:cs="Times New Roman"/>
        </w:rPr>
      </w:pPr>
      <w:r>
        <w:rPr>
          <w:rFonts w:cs="Times New Roman" w:ascii="Times New Roman" w:hAnsi="Times New Roman"/>
        </w:rPr>
      </w:r>
    </w:p>
    <w:p>
      <w:pPr>
        <w:pStyle w:val="ListParagraph"/>
        <w:numPr>
          <w:ilvl w:val="0"/>
          <w:numId w:val="1"/>
        </w:numPr>
        <w:jc w:val="both"/>
        <w:rPr>
          <w:rFonts w:ascii="Times New Roman" w:hAnsi="Times New Roman"/>
          <w:u w:val="single"/>
        </w:rPr>
      </w:pPr>
      <w:r>
        <w:rPr>
          <w:rFonts w:ascii="Times New Roman" w:hAnsi="Times New Roman"/>
          <w:u w:val="single"/>
        </w:rPr>
        <w:t>„</w:t>
      </w:r>
      <w:r>
        <w:rPr>
          <w:rFonts w:ascii="Times New Roman" w:hAnsi="Times New Roman"/>
          <w:u w:val="single"/>
        </w:rPr>
        <w:t>płatność rat – do 20 każdego miesiąca” – rozumiem, że w przypadku gdy 20 dzień danego miesiąca jest dniem wolnym to płatność ma następować w pierwszym kolejnym dniu roboczym.</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Odpowiedź: Zamawiający potwierdza, że w przypadku, gdy 20 dzień danego miesiąca jest dniem wolnym to płatność ma następować w pierwszym dniu roboczym.</w:t>
      </w:r>
    </w:p>
    <w:p>
      <w:pPr>
        <w:pStyle w:val="ListParagraph"/>
        <w:numPr>
          <w:ilvl w:val="0"/>
          <w:numId w:val="1"/>
        </w:numPr>
        <w:rPr>
          <w:rFonts w:ascii="Times New Roman" w:hAnsi="Times New Roman"/>
          <w:u w:val="single"/>
        </w:rPr>
      </w:pPr>
      <w:r>
        <w:rPr>
          <w:rFonts w:ascii="Times New Roman" w:hAnsi="Times New Roman"/>
          <w:u w:val="single"/>
        </w:rPr>
        <w:t>Proszę o udostępnienie wyników spółki za III kw. 2018, tj. Bilans wraz z RZiS lub F-01.</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Odpowiedź: Zamawiający udostępnia bilans oraz RZiS po adresem: http://www.hydrokankietrz.pl/aktualnosci/1539679581/Og%C5%82oszenie_nr_636589-N-2018_-_og%C5%82oszenie_o_zam%C3%B3wieniu/ </w:t>
      </w:r>
    </w:p>
    <w:p>
      <w:pPr>
        <w:pStyle w:val="ListParagraph"/>
        <w:numPr>
          <w:ilvl w:val="0"/>
          <w:numId w:val="1"/>
        </w:numPr>
        <w:jc w:val="both"/>
        <w:rPr>
          <w:rFonts w:ascii="Times New Roman" w:hAnsi="Times New Roman"/>
          <w:u w:val="single"/>
        </w:rPr>
      </w:pPr>
      <w:r>
        <w:rPr>
          <w:rFonts w:ascii="Times New Roman" w:hAnsi="Times New Roman"/>
          <w:u w:val="single"/>
        </w:rPr>
        <w:t>Proszę o dopuszczenie zmian w specyfikacji technicznej, polegających na dopuszczeniu:</w:t>
      </w:r>
    </w:p>
    <w:p>
      <w:pPr>
        <w:pStyle w:val="ListParagraph"/>
        <w:numPr>
          <w:ilvl w:val="0"/>
          <w:numId w:val="8"/>
        </w:numPr>
        <w:jc w:val="both"/>
        <w:rPr>
          <w:rFonts w:ascii="Times New Roman" w:hAnsi="Times New Roman"/>
          <w:u w:val="single"/>
        </w:rPr>
      </w:pPr>
      <w:r>
        <w:rPr>
          <w:rFonts w:ascii="Times New Roman" w:hAnsi="Times New Roman"/>
          <w:u w:val="single"/>
        </w:rPr>
        <w:t>W punkcie I.2.c spełniających normę emisji spalin 4a/3B bez konieczności stosowania płynu AdBlue, dopuścić ciągnik z filtrem cząstek stałych,</w:t>
      </w:r>
    </w:p>
    <w:p>
      <w:pPr>
        <w:pStyle w:val="ListParagraph"/>
        <w:numPr>
          <w:ilvl w:val="0"/>
          <w:numId w:val="8"/>
        </w:numPr>
        <w:jc w:val="both"/>
        <w:rPr/>
      </w:pPr>
      <w:r>
        <w:rPr>
          <w:rFonts w:ascii="Times New Roman" w:hAnsi="Times New Roman"/>
          <w:u w:val="single"/>
        </w:rPr>
        <w:t xml:space="preserve">W punkcie I.5.d system </w:t>
      </w:r>
      <w:r>
        <w:rPr>
          <w:rFonts w:ascii="Times New Roman" w:hAnsi="Times New Roman"/>
          <w:u w:val="single"/>
        </w:rPr>
        <w:t>s</w:t>
      </w:r>
      <w:r>
        <w:rPr>
          <w:rFonts w:ascii="Times New Roman" w:hAnsi="Times New Roman"/>
          <w:u w:val="single"/>
        </w:rPr>
        <w:t>terowania – elektrohydrauliczne, dopuścić system sterowania – mechaniczne;</w:t>
      </w:r>
    </w:p>
    <w:p>
      <w:pPr>
        <w:pStyle w:val="ListParagraph"/>
        <w:numPr>
          <w:ilvl w:val="0"/>
          <w:numId w:val="8"/>
        </w:numPr>
        <w:jc w:val="both"/>
        <w:rPr>
          <w:rFonts w:ascii="Times New Roman" w:hAnsi="Times New Roman"/>
          <w:u w:val="single"/>
        </w:rPr>
      </w:pPr>
      <w:r>
        <w:rPr>
          <w:rFonts w:ascii="Times New Roman" w:hAnsi="Times New Roman"/>
          <w:u w:val="single"/>
        </w:rPr>
        <w:t>W punkcie I.7.b złączanie elektrohydrauliczne (dodatkowo na błotniku) dopuścić bez złączania sterowania WOM-u (dodatkowo na błotniku);</w:t>
      </w:r>
    </w:p>
    <w:p>
      <w:pPr>
        <w:pStyle w:val="ListParagraph"/>
        <w:numPr>
          <w:ilvl w:val="0"/>
          <w:numId w:val="8"/>
        </w:numPr>
        <w:jc w:val="both"/>
        <w:rPr>
          <w:rFonts w:ascii="Times New Roman" w:hAnsi="Times New Roman"/>
          <w:u w:val="single"/>
        </w:rPr>
      </w:pPr>
      <w:r>
        <w:rPr>
          <w:rFonts w:ascii="Times New Roman" w:hAnsi="Times New Roman"/>
          <w:u w:val="single"/>
        </w:rPr>
        <w:t>W punkcie I.7.c zakresy prędkości – minimum 540/540E/1000 obr./min, dopuścić 540/540E bez 1000 obr./min;</w:t>
      </w:r>
    </w:p>
    <w:p>
      <w:pPr>
        <w:pStyle w:val="ListParagraph"/>
        <w:numPr>
          <w:ilvl w:val="0"/>
          <w:numId w:val="8"/>
        </w:numPr>
        <w:jc w:val="both"/>
        <w:rPr>
          <w:rFonts w:ascii="Times New Roman" w:hAnsi="Times New Roman"/>
          <w:u w:val="single"/>
        </w:rPr>
      </w:pPr>
      <w:r>
        <w:rPr>
          <w:rFonts w:ascii="Times New Roman" w:hAnsi="Times New Roman"/>
          <w:u w:val="single"/>
        </w:rPr>
        <w:t>W punkcie I.10.a ogumienie tył – 480/70 R34, dopuścić ogumienie tył 480/70 R30;</w:t>
      </w:r>
    </w:p>
    <w:p>
      <w:pPr>
        <w:pStyle w:val="ListParagraph"/>
        <w:numPr>
          <w:ilvl w:val="0"/>
          <w:numId w:val="8"/>
        </w:numPr>
        <w:jc w:val="both"/>
        <w:rPr>
          <w:rFonts w:ascii="Times New Roman" w:hAnsi="Times New Roman"/>
          <w:u w:val="single"/>
        </w:rPr>
      </w:pPr>
      <w:r>
        <w:rPr>
          <w:rFonts w:ascii="Times New Roman" w:hAnsi="Times New Roman"/>
          <w:u w:val="single"/>
        </w:rPr>
        <w:t>W punkcie I.10.b ogumienie przód – 320/70 R30, dopuścić ogumienie przód 480/70 R24</w:t>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rPr>
      </w:pPr>
      <w:r>
        <w:rPr>
          <w:rFonts w:cs="Times New Roman" w:ascii="Times New Roman" w:hAnsi="Times New Roman"/>
        </w:rPr>
        <w:t>Odpowiedź: Zamawiający dopuszcza zaproponowane parametry techniczne.</w:t>
      </w:r>
    </w:p>
    <w:p>
      <w:pPr>
        <w:pStyle w:val="ListParagraph"/>
        <w:numPr>
          <w:ilvl w:val="0"/>
          <w:numId w:val="1"/>
        </w:numPr>
        <w:jc w:val="both"/>
        <w:rPr>
          <w:rFonts w:ascii="Times New Roman" w:hAnsi="Times New Roman"/>
          <w:u w:val="single"/>
        </w:rPr>
      </w:pPr>
      <w:r>
        <w:rPr>
          <w:rFonts w:ascii="Times New Roman" w:hAnsi="Times New Roman"/>
          <w:u w:val="single"/>
        </w:rPr>
        <w:t>W związku z ogłoszonym przetargiem na zakup ciągnika o mocy 80-100 Km, proszę o wyrażenie zgody na następujące odstępstwa od warunków wynikających z przetargu:</w:t>
      </w:r>
    </w:p>
    <w:p>
      <w:pPr>
        <w:pStyle w:val="ListParagraph"/>
        <w:numPr>
          <w:ilvl w:val="0"/>
          <w:numId w:val="9"/>
        </w:numPr>
        <w:jc w:val="both"/>
        <w:rPr>
          <w:rFonts w:ascii="Times New Roman" w:hAnsi="Times New Roman"/>
          <w:u w:val="single"/>
        </w:rPr>
      </w:pPr>
      <w:r>
        <w:rPr>
          <w:rFonts w:ascii="Times New Roman" w:hAnsi="Times New Roman"/>
          <w:u w:val="single"/>
        </w:rPr>
        <w:t>Długość gwarancji – proponowana przez nas gwarancja fabryczna 1 miesiąc;</w:t>
      </w:r>
    </w:p>
    <w:p>
      <w:pPr>
        <w:pStyle w:val="ListParagraph"/>
        <w:numPr>
          <w:ilvl w:val="0"/>
          <w:numId w:val="9"/>
        </w:numPr>
        <w:jc w:val="both"/>
        <w:rPr>
          <w:rFonts w:ascii="Times New Roman" w:hAnsi="Times New Roman"/>
          <w:u w:val="single"/>
        </w:rPr>
      </w:pPr>
      <w:r>
        <w:rPr>
          <w:rFonts w:ascii="Times New Roman" w:hAnsi="Times New Roman"/>
          <w:u w:val="single"/>
        </w:rPr>
        <w:t>Termin dostawy – minimalny okres dostawy traktora to 5 miesięcy od podpisania umowy;</w:t>
      </w:r>
    </w:p>
    <w:p>
      <w:pPr>
        <w:pStyle w:val="ListParagraph"/>
        <w:numPr>
          <w:ilvl w:val="0"/>
          <w:numId w:val="9"/>
        </w:numPr>
        <w:jc w:val="both"/>
        <w:rPr>
          <w:rFonts w:ascii="Times New Roman" w:hAnsi="Times New Roman"/>
          <w:u w:val="single"/>
        </w:rPr>
      </w:pPr>
      <w:r>
        <w:rPr>
          <w:rFonts w:ascii="Times New Roman" w:hAnsi="Times New Roman"/>
          <w:u w:val="single"/>
        </w:rPr>
        <w:t>Ogumienie przednie – proponowana przez nas 380/70 R24;</w:t>
      </w:r>
    </w:p>
    <w:p>
      <w:pPr>
        <w:pStyle w:val="ListParagraph"/>
        <w:numPr>
          <w:ilvl w:val="0"/>
          <w:numId w:val="9"/>
        </w:numPr>
        <w:jc w:val="both"/>
        <w:rPr>
          <w:rFonts w:ascii="Times New Roman" w:hAnsi="Times New Roman"/>
          <w:u w:val="single"/>
        </w:rPr>
      </w:pPr>
      <w:r>
        <w:rPr>
          <w:rFonts w:ascii="Times New Roman" w:hAnsi="Times New Roman"/>
          <w:u w:val="single"/>
        </w:rPr>
        <w:t>System jazdy pozwalającej na zatrzymanie ciągnika i ponowne ruszenie za pomocą pedału hamulca – brak powyższego w proponowanym ciągniku.</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u w:val="single"/>
        </w:rPr>
      </w:pPr>
      <w:r>
        <w:rPr>
          <w:rFonts w:cs="Times New Roman" w:ascii="Times New Roman" w:hAnsi="Times New Roman"/>
        </w:rPr>
        <w:t>Odpowiedź: Zamawiający dopuszcza odstępstwo w zakresie ppkt. c i d , natomiast w odniesieniu do ppkt. a, b, nie wyraża zgody na odstępstwa.</w:t>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u w:val="single"/>
        </w:rPr>
      </w:pPr>
      <w:r>
        <w:rPr>
          <w:rFonts w:cs="Times New Roman" w:ascii="Times New Roman" w:hAnsi="Times New Roman"/>
          <w:u w:val="single"/>
        </w:rPr>
      </w:r>
    </w:p>
    <w:p>
      <w:pPr>
        <w:pStyle w:val="Normal"/>
        <w:rPr>
          <w:rFonts w:ascii="Times New Roman" w:hAnsi="Times New Roman" w:cs="Times New Roman"/>
        </w:rPr>
      </w:pPr>
      <w:r>
        <w:rPr>
          <w:rFonts w:cs="Times New Roman" w:ascii="Times New Roman" w:hAnsi="Times New Roman"/>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Trebuchet MS">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lvl w:ilvl="0">
      <w:start w:val="1"/>
      <w:numFmt w:val="decimal"/>
      <w:lvlText w:val="%1)"/>
      <w:lvlJc w:val="left"/>
      <w:pPr>
        <w:ind w:left="1080" w:hanging="360"/>
      </w:pPr>
      <w:rPr>
        <w:b w:val="false"/>
        <w:rFonts w:ascii="Times New Roman" w:hAnsi="Times New Roman"/>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lvl w:ilvl="0">
      <w:start w:val="1"/>
      <w:numFmt w:val="decimal"/>
      <w:lvlText w:val="%1)"/>
      <w:lvlJc w:val="left"/>
      <w:pPr>
        <w:ind w:left="720" w:hanging="360"/>
      </w:pPr>
      <w:rPr>
        <w:sz w:val="22"/>
        <w:b w:val="false"/>
        <w:szCs w:val="22"/>
        <w:rFonts w:ascii="Times New Roman" w:hAnsi="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lvl w:ilvl="0">
      <w:start w:val="1"/>
      <w:numFmt w:val="decimal"/>
      <w:lvlText w:val="%1)"/>
      <w:lvlJc w:val="left"/>
      <w:pPr>
        <w:ind w:left="1080" w:hanging="360"/>
      </w:pPr>
      <w:rPr>
        <w:b w:val="false"/>
        <w:rFonts w:ascii="Times New Roman" w:hAnsi="Times New Roman"/>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lvl w:ilvl="0">
      <w:start w:val="1"/>
      <w:numFmt w:val="decimal"/>
      <w:lvlText w:val="%1)"/>
      <w:lvlJc w:val="left"/>
      <w:pPr>
        <w:ind w:left="720" w:hanging="360"/>
      </w:pPr>
      <w:rPr>
        <w:sz w:val="22"/>
        <w:b w:val="false"/>
        <w:szCs w:val="22"/>
        <w:rFonts w:ascii="Times New Roman" w:hAnsi="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b w:val="false"/>
    </w:rPr>
  </w:style>
  <w:style w:type="character" w:styleId="ListLabel2">
    <w:name w:val="ListLabel 2"/>
    <w:qFormat/>
    <w:rPr>
      <w:rFonts w:ascii="Times New Roman" w:hAnsi="Times New Roman"/>
      <w:b w:val="false"/>
      <w:sz w:val="22"/>
      <w:szCs w:val="22"/>
    </w:rPr>
  </w:style>
  <w:style w:type="character" w:styleId="ListLabel3">
    <w:name w:val="ListLabel 3"/>
    <w:qFormat/>
    <w:rPr>
      <w:rFonts w:ascii="Times New Roman" w:hAnsi="Times New Roman"/>
      <w:b w:val="false"/>
    </w:rPr>
  </w:style>
  <w:style w:type="character" w:styleId="ListLabel4">
    <w:name w:val="ListLabel 4"/>
    <w:qFormat/>
    <w:rPr>
      <w:rFonts w:ascii="Times New Roman" w:hAnsi="Times New Roman"/>
      <w:b w:val="false"/>
      <w:sz w:val="22"/>
      <w:szCs w:val="22"/>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b w:val="false"/>
    </w:rPr>
  </w:style>
  <w:style w:type="character" w:styleId="ListLabel9">
    <w:name w:val="ListLabel 9"/>
    <w:qFormat/>
    <w:rPr>
      <w:rFonts w:ascii="Times New Roman" w:hAnsi="Times New Roman"/>
      <w:b w:val="false"/>
      <w:sz w:val="22"/>
      <w:szCs w:val="22"/>
    </w:rPr>
  </w:style>
  <w:style w:type="character" w:styleId="ListLabel10">
    <w:name w:val="ListLabel 10"/>
    <w:qFormat/>
    <w:rPr>
      <w:rFonts w:ascii="Times New Roman" w:hAnsi="Times New Roman"/>
      <w:b w:val="false"/>
    </w:rPr>
  </w:style>
  <w:style w:type="character" w:styleId="ListLabel11">
    <w:name w:val="ListLabel 11"/>
    <w:qFormat/>
    <w:rPr>
      <w:rFonts w:ascii="Times New Roman" w:hAnsi="Times New Roman"/>
      <w:b w:val="false"/>
      <w:sz w:val="22"/>
      <w:szCs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qFormat/>
    <w:rsid w:val="008c127b"/>
    <w:pPr>
      <w:spacing w:lineRule="auto" w:line="276" w:before="0" w:after="0"/>
      <w:ind w:left="720" w:hanging="0"/>
    </w:pPr>
    <w:rPr>
      <w:rFonts w:ascii="Trebuchet MS" w:hAnsi="Trebuchet MS" w:cs="Times New Roman"/>
      <w:color w:val="000000"/>
    </w:rPr>
  </w:style>
  <w:style w:type="paragraph" w:styleId="Standard" w:customStyle="1">
    <w:name w:val="Standard"/>
    <w:qFormat/>
    <w:rsid w:val="00910ac2"/>
    <w:pPr>
      <w:widowControl/>
      <w:suppressAutoHyphens w:val="true"/>
      <w:bidi w:val="0"/>
      <w:spacing w:lineRule="auto" w:line="276" w:before="0" w:after="200"/>
      <w:jc w:val="left"/>
      <w:textAlignment w:val="baseline"/>
    </w:pPr>
    <w:rPr>
      <w:rFonts w:ascii="Calibri" w:hAnsi="Calibri" w:eastAsia="SimSun" w:cs="F" w:asciiTheme="minorHAnsi" w:hAnsiTheme="minorHAnsi"/>
      <w:color w:val="00000A"/>
      <w:sz w:val="22"/>
      <w:szCs w:val="22"/>
      <w:lang w:val="pl-PL" w:eastAsia="pl-PL" w:bidi="ar-SA"/>
    </w:rPr>
  </w:style>
  <w:style w:type="paragraph" w:styleId="NormalWeb">
    <w:name w:val="Normal (Web)"/>
    <w:basedOn w:val="Standard"/>
    <w:qFormat/>
    <w:rsid w:val="00910ac2"/>
    <w:pPr>
      <w:spacing w:lineRule="auto" w:line="240" w:before="100" w:after="10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LibreOffice/5.2.3.3$Windows_x86 LibreOffice_project/d54a8868f08a7b39642414cf2c8ef2f228f780cf</Application>
  <Pages>3</Pages>
  <Words>703</Words>
  <Characters>4285</Characters>
  <CharactersWithSpaces>4937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2018-10-24T10:54:00Z</dcterms:created>
  <dc:creator>Joanna</dc:creator>
  <dc:description/>
  <dc:language>pl-PL</dc:language>
  <cp:lastModifiedBy/>
  <dcterms:modified xsi:type="dcterms:W3CDTF">2018-10-31T18:04:22Z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